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1"/>
        <w:spacing w:before="0" w:line="240" w:lineRule="auto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Załącznik nr 6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1"/>
        <w:spacing w:after="240" w:before="0" w:line="240" w:lineRule="auto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do Regulaminu naboru wniosków o powierzenie grantów</w:t>
      </w:r>
    </w:p>
    <w:p w:rsidR="00000000" w:rsidDel="00000000" w:rsidP="00000000" w:rsidRDefault="00000000" w:rsidRPr="00000000" w14:paraId="00000004">
      <w:pPr>
        <w:pStyle w:val="Heading2"/>
        <w:spacing w:after="240" w:lineRule="auto"/>
        <w:jc w:val="center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bookmarkStart w:colFirst="0" w:colLast="0" w:name="_heading=h.tpe4xgqycvj1" w:id="0"/>
      <w:bookmarkEnd w:id="0"/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4"/>
          <w:szCs w:val="24"/>
          <w:rtl w:val="0"/>
        </w:rPr>
        <w:t xml:space="preserve">Lista wskaźników (EFS+)</w:t>
      </w:r>
    </w:p>
    <w:tbl>
      <w:tblPr>
        <w:tblStyle w:val="Table1"/>
        <w:tblW w:w="14390.0" w:type="dxa"/>
        <w:jc w:val="left"/>
        <w:tblBorders>
          <w:top w:color="999999" w:space="0" w:sz="4" w:val="single"/>
          <w:left w:color="999999" w:space="0" w:sz="4" w:val="single"/>
          <w:bottom w:color="999999" w:space="0" w:sz="4" w:val="single"/>
          <w:right w:color="999999" w:space="0" w:sz="4" w:val="single"/>
          <w:insideH w:color="999999" w:space="0" w:sz="4" w:val="single"/>
          <w:insideV w:color="999999" w:space="0" w:sz="4" w:val="single"/>
        </w:tblBorders>
        <w:tblLayout w:type="fixed"/>
        <w:tblLook w:val="04A0"/>
      </w:tblPr>
      <w:tblGrid>
        <w:gridCol w:w="1325"/>
        <w:gridCol w:w="1623"/>
        <w:gridCol w:w="2940"/>
        <w:gridCol w:w="4597"/>
        <w:gridCol w:w="1157"/>
        <w:gridCol w:w="2748"/>
        <w:tblGridChange w:id="0">
          <w:tblGrid>
            <w:gridCol w:w="1325"/>
            <w:gridCol w:w="1623"/>
            <w:gridCol w:w="2940"/>
            <w:gridCol w:w="4597"/>
            <w:gridCol w:w="1157"/>
            <w:gridCol w:w="2748"/>
          </w:tblGrid>
        </w:tblGridChange>
      </w:tblGrid>
      <w:tr>
        <w:trPr>
          <w:cantSplit w:val="0"/>
          <w:trHeight w:val="422" w:hRule="atLeast"/>
          <w:tblHeader w:val="1"/>
        </w:trPr>
        <w:tc>
          <w:tcPr>
            <w:vMerge w:val="restart"/>
          </w:tcPr>
          <w:p w:rsidR="00000000" w:rsidDel="00000000" w:rsidP="00000000" w:rsidRDefault="00000000" w:rsidRPr="00000000" w14:paraId="0000000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Kod wskaźnika 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0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Rodzaj wskaźnika 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0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Nazwa wskaźnika (jednostka miary) 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0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Definicja operacyjna/kontekst prawny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0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Wskaźnik obligatoryjny</w:t>
            </w:r>
          </w:p>
        </w:tc>
      </w:tr>
      <w:tr>
        <w:trPr>
          <w:cantSplit w:val="0"/>
          <w:trHeight w:val="422" w:hRule="atLeast"/>
          <w:tblHeader w:val="1"/>
        </w:trPr>
        <w:tc>
          <w:tcPr>
            <w:vMerge w:val="continue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F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TAK</w:t>
            </w:r>
          </w:p>
        </w:tc>
        <w:tc>
          <w:tcPr/>
          <w:p w:rsidR="00000000" w:rsidDel="00000000" w:rsidP="00000000" w:rsidRDefault="00000000" w:rsidRPr="00000000" w14:paraId="00000010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NIE</w:t>
            </w:r>
          </w:p>
        </w:tc>
      </w:tr>
      <w:tr>
        <w:trPr>
          <w:cantSplit w:val="0"/>
          <w:trHeight w:val="119" w:hRule="atLeast"/>
          <w:tblHeader w:val="0"/>
        </w:trPr>
        <w:tc>
          <w:tcPr/>
          <w:p w:rsidR="00000000" w:rsidDel="00000000" w:rsidP="00000000" w:rsidRDefault="00000000" w:rsidRPr="00000000" w14:paraId="0000001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WLWK-PLFCO09</w:t>
            </w:r>
          </w:p>
        </w:tc>
        <w:tc>
          <w:tcPr/>
          <w:p w:rsidR="00000000" w:rsidDel="00000000" w:rsidP="00000000" w:rsidRDefault="00000000" w:rsidRPr="00000000" w14:paraId="0000001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Wskaźnik produktu  </w:t>
            </w:r>
          </w:p>
        </w:tc>
        <w:tc>
          <w:tcPr/>
          <w:p w:rsidR="00000000" w:rsidDel="00000000" w:rsidP="00000000" w:rsidRDefault="00000000" w:rsidRPr="00000000" w14:paraId="0000001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Liczba dzieci lub uczniów o specjalnych potrzebach rozwojowych i edukacyjnych, którzy zostali objęci usługami </w:t>
            </w:r>
          </w:p>
        </w:tc>
        <w:tc>
          <w:tcPr/>
          <w:p w:rsidR="00000000" w:rsidDel="00000000" w:rsidP="00000000" w:rsidRDefault="00000000" w:rsidRPr="00000000" w14:paraId="00000014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Wskaźnik mierzy liczbę dzieci i uczniów, którzy zostali objęci opieką asystenta/ skorzystali z usług asystenckich. Wskaźnik mierzony jest w momencie, gdy dziecko lub uczeń pierwszy raz skorzysta z usług asystenta. Wskaźnik jest wskaźnikiem podrzędnym w stosunku do PLFCO08.</w:t>
            </w:r>
          </w:p>
        </w:tc>
        <w:tc>
          <w:tcPr/>
          <w:p w:rsidR="00000000" w:rsidDel="00000000" w:rsidP="00000000" w:rsidRDefault="00000000" w:rsidRPr="00000000" w14:paraId="0000001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Wskaźnik należy wykazać we wniosku o dofinansowanie, jeśli jest adekwatny do planowanego w projekcie zakresu wsparcia i grupy docelowej </w:t>
            </w:r>
          </w:p>
        </w:tc>
      </w:tr>
      <w:tr>
        <w:trPr>
          <w:cantSplit w:val="0"/>
          <w:trHeight w:val="118" w:hRule="atLeast"/>
          <w:tblHeader w:val="0"/>
        </w:trPr>
        <w:tc>
          <w:tcPr/>
          <w:p w:rsidR="00000000" w:rsidDel="00000000" w:rsidP="00000000" w:rsidRDefault="00000000" w:rsidRPr="00000000" w14:paraId="0000001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WLWK-PLFCO08</w:t>
            </w:r>
          </w:p>
        </w:tc>
        <w:tc>
          <w:tcPr/>
          <w:p w:rsidR="00000000" w:rsidDel="00000000" w:rsidP="00000000" w:rsidRDefault="00000000" w:rsidRPr="00000000" w14:paraId="0000001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Wskaźnik produktu  </w:t>
            </w:r>
          </w:p>
        </w:tc>
        <w:tc>
          <w:tcPr/>
          <w:p w:rsidR="00000000" w:rsidDel="00000000" w:rsidP="00000000" w:rsidRDefault="00000000" w:rsidRPr="00000000" w14:paraId="00000019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Liczba dzieci/uczniów o specjalnych potrzebach rozwojowych i edukacyjnych, objętych wsparciem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ind w:firstLine="708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Wskaźnik mierzy liczbę dzieci/uczniów objętych w ramach programu wsparciem w zakresie zidentyfikowanych specjalnych potrzeb rozwojowych i edukacyjnych, w tym wynikających z niepełnosprawności.</w:t>
            </w:r>
          </w:p>
          <w:p w:rsidR="00000000" w:rsidDel="00000000" w:rsidP="00000000" w:rsidRDefault="00000000" w:rsidRPr="00000000" w14:paraId="0000001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Jako specjalne potrzeby rozwojowe i edukacyjne należy rozumieć indywidualne potrzeby oraz możliwości psychofizyczne dzieci w wieku przedszkolnym oraz uczniów, o których mowa w rozporządzeniu Ministra Edukacji Narodowej z dnia 9 sierpnia 2017 r.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rtl w:val="0"/>
              </w:rPr>
              <w:t xml:space="preserve">w sprawie zasad organizacji i udzielania pomocy psychologiczno-pedagogicznej w publicznych przedszkolach, szkołach i placówkach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1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Wskaźnik jest wskaźnikiem podrzędnym w stosunku do PLFCO01, 03, 04 i 05.</w:t>
            </w:r>
          </w:p>
        </w:tc>
        <w:tc>
          <w:tcPr/>
          <w:p w:rsidR="00000000" w:rsidDel="00000000" w:rsidP="00000000" w:rsidRDefault="00000000" w:rsidRPr="00000000" w14:paraId="0000001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Wskaźnik należy wykazać we wniosku o dofinansowanie, jeśli jest adekwatny do planowanego w projekcie zakresu wsparcia i grupy docelowej </w:t>
            </w:r>
          </w:p>
        </w:tc>
      </w:tr>
      <w:tr>
        <w:trPr>
          <w:cantSplit w:val="0"/>
          <w:trHeight w:val="118" w:hRule="atLeast"/>
          <w:tblHeader w:val="0"/>
        </w:trPr>
        <w:tc>
          <w:tcPr/>
          <w:p w:rsidR="00000000" w:rsidDel="00000000" w:rsidP="00000000" w:rsidRDefault="00000000" w:rsidRPr="00000000" w14:paraId="00000020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WLWK-PL0CO02</w:t>
            </w:r>
          </w:p>
        </w:tc>
        <w:tc>
          <w:tcPr/>
          <w:p w:rsidR="00000000" w:rsidDel="00000000" w:rsidP="00000000" w:rsidRDefault="00000000" w:rsidRPr="00000000" w14:paraId="0000002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Wskaźnik produktu  </w:t>
            </w:r>
          </w:p>
        </w:tc>
        <w:tc>
          <w:tcPr/>
          <w:p w:rsidR="00000000" w:rsidDel="00000000" w:rsidP="00000000" w:rsidRDefault="00000000" w:rsidRPr="00000000" w14:paraId="0000002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Liczba obiektów dostosowanych do potrzeb osób z niepełnosprawnościami</w:t>
            </w:r>
          </w:p>
        </w:tc>
        <w:tc>
          <w:tcPr/>
          <w:p w:rsidR="00000000" w:rsidDel="00000000" w:rsidP="00000000" w:rsidRDefault="00000000" w:rsidRPr="00000000" w14:paraId="0000002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Wskaźnik odnosi się do liczby obiektów w ramach realizowanego projektu, które zaopatrzono w specjalne podjazdy, windy, urządzenia głośnomówiące, bądź inne udogodnienia (tj. usunięcie barier w dostępie, w szczególności barier architektonicznych) ułatwiające dostęp do tych obiektów i poruszanie się po nich osobom z niepełnosprawnościami, w szczególności ruchowymi czy sensorycznymi. Jako obiekty należy rozumieć konstrukcje połączone z gruntem w sposób trwały, wykonane z materiałów budowlanych i elementów składowych, będące wynikiem prac budowlanych (wg. def. PKOB). Należy podać liczbę obiektów, a nie sprzętów, urządzeń itp., w które obiekty zaopatrzono. Jeśli instytucja, zakład itp. składa się z kilku obiektów, należy zliczyć wszystkie, które dostosowano do potrzeb osób z niepełnosprawnościami. Wskaźnik mierzony w momencie rozliczenia wydatku związanego z wyposażeniem obiektów w rozwiązania służące osobom z niepełnosprawnościami w ramach danego projektu.</w:t>
            </w:r>
          </w:p>
        </w:tc>
        <w:tc>
          <w:tcPr/>
          <w:p w:rsidR="00000000" w:rsidDel="00000000" w:rsidP="00000000" w:rsidRDefault="00000000" w:rsidRPr="00000000" w14:paraId="00000024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Wskaźnik należy wykazać we wniosku o dofinansowanie, jeśli jest adekwatny do planowanego w projekcie zakresu wsparcia i grupy docelowej  </w:t>
            </w:r>
          </w:p>
        </w:tc>
      </w:tr>
      <w:tr>
        <w:trPr>
          <w:cantSplit w:val="0"/>
          <w:trHeight w:val="118" w:hRule="atLeast"/>
          <w:tblHeader w:val="0"/>
        </w:trPr>
        <w:tc>
          <w:tcPr/>
          <w:p w:rsidR="00000000" w:rsidDel="00000000" w:rsidP="00000000" w:rsidRDefault="00000000" w:rsidRPr="00000000" w14:paraId="0000002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WLWK-EECO18</w:t>
            </w:r>
          </w:p>
        </w:tc>
        <w:tc>
          <w:tcPr/>
          <w:p w:rsidR="00000000" w:rsidDel="00000000" w:rsidP="00000000" w:rsidRDefault="00000000" w:rsidRPr="00000000" w14:paraId="0000002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Wskaźnik produktu  </w:t>
            </w:r>
          </w:p>
        </w:tc>
        <w:tc>
          <w:tcPr/>
          <w:p w:rsidR="00000000" w:rsidDel="00000000" w:rsidP="00000000" w:rsidRDefault="00000000" w:rsidRPr="00000000" w14:paraId="0000002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Liczba objętych wsparciem podmiotów administracji publicznej lub służb publicznych na szczeblu krajowym, regionalnym lub lokalnym</w:t>
            </w:r>
          </w:p>
        </w:tc>
        <w:tc>
          <w:tcPr/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Za służby publiczne uznaje się publiczne lub prywatne podmioty, które świadczą usługi publiczne (w przypadku usług publicznych zlecanych przez państwo podmiotom prywatnym lub świadczonych w ramach partnerstwa publiczno-prywatnego). Przez administrację publiczną rozumie się: administrację wykonawczą i prawodawczą na poziomie centralnym, regionalnym i lokalnym; administrację i nadzór nad sprawami podatkowymi (obsługa podatków; pobór cła / podatku od towarów i dochodzenie w sprawie naruszenia prawa podatkowego; służba celna); administrację zajmującą się wdrażaniem budżetu i zarządzaniem  środkami budżetu państwa i długiem publicznym (pobieranie i otrzymywanie pieniędzy oraz kontrola ich wydatkowania); administrację zajmującą się sprawami obywatelskimi, polityką w zakresie badań i rozwoju oraz powiązanymi funduszami; administrację i realizację  ogólnego planowania gospodarczego i społecznego oraz usług statystycznych na różnych szczeblach rządzenia. Informacje dotyczące podmiotów objętych wsparciem powinny pochodzić z dokumentów administracyjnych np. z umów o dofinansowanie. Do wskaźnika wliczane są tylko te podmioty, dla których można wyróżnić wydatki (nie dotyczy pomocy technicznej). Podmiot jest wliczany do wskaźnika w momencie rozpoczęcia udziału w projekcie.</w:t>
            </w:r>
          </w:p>
        </w:tc>
        <w:tc>
          <w:tcPr/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</w:tc>
        <w:tc>
          <w:tcPr/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8" w:hRule="atLeast"/>
          <w:tblHeader w:val="0"/>
        </w:trPr>
        <w:tc>
          <w:tcPr/>
          <w:p w:rsidR="00000000" w:rsidDel="00000000" w:rsidP="00000000" w:rsidRDefault="00000000" w:rsidRPr="00000000" w14:paraId="0000002C">
            <w:pPr>
              <w:rPr>
                <w:rFonts w:ascii="Arial" w:cs="Arial" w:eastAsia="Arial" w:hAnsi="Arial"/>
              </w:rPr>
            </w:pPr>
            <w:bookmarkStart w:colFirst="0" w:colLast="0" w:name="_heading=h.jizxh8ru1s7m" w:id="1"/>
            <w:bookmarkEnd w:id="1"/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WLWK-PLFCO12</w:t>
            </w:r>
          </w:p>
        </w:tc>
        <w:tc>
          <w:tcPr/>
          <w:p w:rsidR="00000000" w:rsidDel="00000000" w:rsidP="00000000" w:rsidRDefault="00000000" w:rsidRPr="00000000" w14:paraId="0000002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Wskaźnik produktu  </w:t>
            </w:r>
          </w:p>
        </w:tc>
        <w:tc>
          <w:tcPr/>
          <w:p w:rsidR="00000000" w:rsidDel="00000000" w:rsidP="00000000" w:rsidRDefault="00000000" w:rsidRPr="00000000" w14:paraId="0000002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Liczba ogólnodostępnych szkół i placówek systemu oświaty objętych wsparciem w zakresie edukacji włączającej</w:t>
            </w:r>
          </w:p>
        </w:tc>
        <w:tc>
          <w:tcPr/>
          <w:p w:rsidR="00000000" w:rsidDel="00000000" w:rsidP="00000000" w:rsidRDefault="00000000" w:rsidRPr="00000000" w14:paraId="0000002F">
            <w:pPr>
              <w:spacing w:after="12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Wskaźnik mierzy liczbę szkół i placówek systemu oświaty objętych wsparciem w zakresie edukacji włączającej. Wskaźnik ma zastosowanie do ośrodków wychowania przedszkolnego, szkół i placówek prowadzących kształcenie ogólne, jak i szkół i placówek prowadzących kształcenie zawodowe. Wskaźnik odnosi się do szkół i placówek publicznych i niepublicznych. Wskaźnik nie ma zastosowania do poradni psychologiczno-pedagogicznych i szkół specjalnych. W przypadku objęcia wsparciem kilku szkół wchodzących w skład zespołu szkół, każdą szkołę z danego zespołu szkół, która uzyskała wsparcie, należy liczyć odrębnie. W przypadku skierowania wsparcia do szkół filialnych, szkoła macierzysta i szkoły jej podporządkowane powinny być mierzone odrębnie. Wskaźnik jest wskaźnikiem podrzędnym w stosunku do PLFCO07.</w:t>
            </w:r>
          </w:p>
        </w:tc>
        <w:tc>
          <w:tcPr/>
          <w:p w:rsidR="00000000" w:rsidDel="00000000" w:rsidP="00000000" w:rsidRDefault="00000000" w:rsidRPr="00000000" w14:paraId="00000030">
            <w:pPr>
              <w:spacing w:after="12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spacing w:after="12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X</w:t>
            </w:r>
          </w:p>
        </w:tc>
      </w:tr>
      <w:tr>
        <w:trPr>
          <w:cantSplit w:val="0"/>
          <w:trHeight w:val="118" w:hRule="atLeast"/>
          <w:tblHeader w:val="0"/>
        </w:trPr>
        <w:tc>
          <w:tcPr/>
          <w:p w:rsidR="00000000" w:rsidDel="00000000" w:rsidP="00000000" w:rsidRDefault="00000000" w:rsidRPr="00000000" w14:paraId="00000032">
            <w:pPr>
              <w:rPr>
                <w:rFonts w:ascii="Arial" w:cs="Arial" w:eastAsia="Arial" w:hAnsi="Arial"/>
              </w:rPr>
            </w:pPr>
            <w:bookmarkStart w:colFirst="0" w:colLast="0" w:name="_heading=h.j33rtaxrafq8" w:id="2"/>
            <w:bookmarkEnd w:id="2"/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WLWK-EECO15</w:t>
            </w:r>
          </w:p>
        </w:tc>
        <w:tc>
          <w:tcPr/>
          <w:p w:rsidR="00000000" w:rsidDel="00000000" w:rsidP="00000000" w:rsidRDefault="00000000" w:rsidRPr="00000000" w14:paraId="0000003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Wskaźnik produktu  </w:t>
            </w:r>
          </w:p>
        </w:tc>
        <w:tc>
          <w:tcPr/>
          <w:p w:rsidR="00000000" w:rsidDel="00000000" w:rsidP="00000000" w:rsidRDefault="00000000" w:rsidRPr="00000000" w14:paraId="00000034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Liczba osób należących do mniejszości, w tym społeczności marginalizowanych takich jak Romowie, objętych wsparciem w programie</w:t>
            </w:r>
          </w:p>
        </w:tc>
        <w:tc>
          <w:tcPr/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Wskaźnik obejmuje osoby należące do mniejszości narodowych i etnicznych biorące udział w projektach EFS+. Zgodnie z prawem krajowym mniejszości narodowe to mniejszość: białoruska, czeska, litewska, niemiecka, ormiańska, rosyjska, słowacka, ukraińska, żydowska. Mniejszości etniczne: karaimska, łemkowska, romska, tatarska. Definicja opracowana na podstawie ustawy z dnia 6 stycznia 2005 r. o mniejszościach narodowych i etnicznych oraz o języku regionalnym. Przynależność do grupy osób należących do mniejszości określana jest w momencie rozpoczęcia udziału w projekcie, tj. w chwili rozpoczęcia udziału w pierwszej formie wsparcia w projekcie. W przypadku, gdy przynależność do mniejszości jest kryterium umożliwiającym udział w danej interwencji (np. grupa docelowa wskazana została we wniosku o dofinansowanie, kryteriach wyboru projektu lub dokumentach programowych), należy dane pozyskiwać bezpośrednio od wszystkich jej uczestników. W pozostałych przypadkach dane osobowe dot. tej cechy nie muszą być zbierane od poszczególnych uczestników. Wskaźnik należy jednak monitorować, nawet w przypadku, gdy powiązane z nim dane osobowe nie są zbierane od uczestników. Beneficjent stosuje wtedy szacunki. Najlepiej, by szacunki dotyczące uczestników należących do mniejszości w ogólnej liczbie uczestników w podziale na płeć były uzyskiwane za pomocą metod, które można statystycznie uzasadnić. Jeśli nie jest to możliwe, należy wykorzystać tzw. wiarygodne szacunki (różne metody szacowania opisano w załączniku do Wytycznych). Wybraną metodę szacowania należy udokumentować. Uwaga: w danym projekcie może być stosowana wyłącznie jedna metoda monitorowania tego wskaźnika tj. szacowanie lub zbieranie danych osobowych dot. tego wskaźnika od uczestników. Zasady dotyczące możliwości wykorzystania wiarygodnych szacunków przez beneficjentów w danym naborze określane są przez właściwą dla programu Instytucję Zarządzającą.</w:t>
            </w:r>
          </w:p>
        </w:tc>
        <w:tc>
          <w:tcPr/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</w:tc>
        <w:tc>
          <w:tcPr/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8" w:hRule="atLeast"/>
          <w:tblHeader w:val="0"/>
        </w:trPr>
        <w:tc>
          <w:tcPr/>
          <w:p w:rsidR="00000000" w:rsidDel="00000000" w:rsidP="00000000" w:rsidRDefault="00000000" w:rsidRPr="00000000" w14:paraId="00000038">
            <w:pPr>
              <w:rPr>
                <w:rFonts w:ascii="Arial" w:cs="Arial" w:eastAsia="Arial" w:hAnsi="Arial"/>
              </w:rPr>
            </w:pPr>
            <w:bookmarkStart w:colFirst="0" w:colLast="0" w:name="_heading=h.e88rg72x0j67" w:id="3"/>
            <w:bookmarkEnd w:id="3"/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WLWK-EECO14</w:t>
            </w:r>
          </w:p>
        </w:tc>
        <w:tc>
          <w:tcPr/>
          <w:p w:rsidR="00000000" w:rsidDel="00000000" w:rsidP="00000000" w:rsidRDefault="00000000" w:rsidRPr="00000000" w14:paraId="0000003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Wskaźnik produktu  </w:t>
            </w:r>
          </w:p>
        </w:tc>
        <w:tc>
          <w:tcPr/>
          <w:p w:rsidR="00000000" w:rsidDel="00000000" w:rsidP="00000000" w:rsidRDefault="00000000" w:rsidRPr="00000000" w14:paraId="0000003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Liczba osób obcego pochodzenia objętych wsparciem w programie</w:t>
            </w:r>
          </w:p>
        </w:tc>
        <w:tc>
          <w:tcPr/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Osoby obcego pochodzenia to cudzoziemcy - każda osoba, która nie posiada polskiego obywatelstwa, bez względu na fakt posiadania lub nie obywatelstwa (obywatelstw) innych krajów. Wskaźnik nie obejmuje osób należących do mniejszości, których udział w projektach monitorowany jest wskaźnikiem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liczba osób należących do mniejszości, w tym społeczności marginalizowanych takich jak Romowie, objętych wsparciem w programie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. Przynależność do grupy osób obcego pochodzenia określana jest w momencie rozpoczęcia udziału w projekcie, tj. w chwili rozpoczęcia udziału w pierwszej formie wsparcia w projekcie. W przypadku, gdy fakt bycia cudzoziemcem (osobą obcego pochodzenia) jest kryterium umożliwiającym udział w danej interwencji (np. grupa docelowa wskazana została we wniosku o dofinansowanie, kryteriach wyboru projektu lub dokumentach programowych), należy dane pozyskiwać bezpośrednio od wszystkich jej uczestników. W pozostałych przypadkach dane osobowe dot. tej cechy nie muszą być zbierane od poszczególnych uczestników. Wskaźnik należy jednak monitorować, nawet w przypadku, gdy powiązane z nim dane osobowe nie są zbierane od uczestników. Beneficjent stosuje wtedy szacunki. Najlepiej, by szacunki dotyczące uczestników obcego pochodzenia w ogólnej liczbie uczestników w podziale na płeć były uzyskiwane za pomocą metod, które można statystycznie uzasadnić. Jeśli nie jest to możliwe, należy wykorzystać tzw. wiarygodne szacunki (różne metody szacowania opisano w załączniku do Wytycznych). Wybraną metodę szacowania należy udokumentować. Uwaga: w danym projekcie może być stosowana wyłącznie jedna metoda monitorowania tego wskaźnika tj. szacowanie lub zbieranie danych osobowych dot. tego wskaźnika od uczestników. Informacje dodatkowe: Wskaźnik będzie obejmował zawsze osoby z krajów trzecich, zliczane we wskaźniku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liczba osób z krajów trzecich objętych wsparciem w programie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. Zasady dotyczące możliwości wykorzystania wiarygodnych szacunków przez beneficjentów w danym naborze określane są przez właściwą dla programu Instytucję Zarządzającą.</w:t>
            </w:r>
          </w:p>
        </w:tc>
        <w:tc>
          <w:tcPr/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</w:tc>
        <w:tc>
          <w:tcPr/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8" w:hRule="atLeast"/>
          <w:tblHeader w:val="0"/>
        </w:trPr>
        <w:tc>
          <w:tcPr/>
          <w:p w:rsidR="00000000" w:rsidDel="00000000" w:rsidP="00000000" w:rsidRDefault="00000000" w:rsidRPr="00000000" w14:paraId="0000003E">
            <w:pPr>
              <w:rPr>
                <w:rFonts w:ascii="Arial" w:cs="Arial" w:eastAsia="Arial" w:hAnsi="Arial"/>
              </w:rPr>
            </w:pPr>
            <w:bookmarkStart w:colFirst="0" w:colLast="0" w:name="_heading=h.q8axhx1ly60q" w:id="4"/>
            <w:bookmarkEnd w:id="4"/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WLWK-EECO16</w:t>
            </w:r>
          </w:p>
        </w:tc>
        <w:tc>
          <w:tcPr/>
          <w:p w:rsidR="00000000" w:rsidDel="00000000" w:rsidP="00000000" w:rsidRDefault="00000000" w:rsidRPr="00000000" w14:paraId="0000003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Wskaźnik produktu  </w:t>
            </w:r>
          </w:p>
        </w:tc>
        <w:tc>
          <w:tcPr/>
          <w:p w:rsidR="00000000" w:rsidDel="00000000" w:rsidP="00000000" w:rsidRDefault="00000000" w:rsidRPr="00000000" w14:paraId="00000040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Liczba osób w kryzysie bezdomności lub dotkniętych wykluczeniem z dostępu do mieszkań, objętych wsparciem w programie</w:t>
            </w:r>
          </w:p>
        </w:tc>
        <w:tc>
          <w:tcPr/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We wskaźniku wykazywane są osoby w kryzysie bezdomności lub dotknięte wykluczeniem z dostępu do mieszkań. Bezdomność i wykluczenie mieszkaniowe definiowane są zgodnie z Europejską typologią bezdomności i wykluczenia mieszkaniowego ETHOS, w której wskazuje się okoliczności życia w bezdomności lub ekstremalne formy wykluczenia mieszkaniowego oraz ustawą z dnia 12 marca 2004 r.  o pomocy społecznej: 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Bez dachu nad głową, w tym osoby żyjące w przestrzeni publicznej lub zakwaterowane interwencyjnie;</w:t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Bez mieszkania, w tym osoby zakwaterowane w placówkach dla bezdomnych, w schroniskach dla kobiet, schroniskach dla imigrantów, osoby opuszczające instytucje penitencjarne/karne/medyczne, instytucje opiekuńcze, osoby otrzymujące długookresowe wsparcie z powodu bezdomności - specjalistyczne zakwaterowanie wspierane); </w:t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Niezabezpieczone zakwaterowanie, w tym osoby w lokalach niezabezpieczonych – przebywające czasowo u rodziny/przyjaciół, tj. przebywające w konwencjonalnych warunkach lokalowych, ale nie w stałym miejscu zamieszkania ze względu na brak posiadania takiego, wynajmujący nielegalnie lub nielegalnie zajmujące ziemie, osoby posiadające niepewny najem z nakazem eksmisji, osoby zagrożone przemocą;</w:t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Nieodpowiednie warunki mieszkaniowe, w tym osoby zamieszkujące konstrukcje tymczasowe/nietrwałe, mieszkania substandardowe - lokale nienadające się do zamieszkania wg standardu krajowego, w warunkach skrajnego przeludnienia;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714" w:right="0" w:hanging="357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Osoby niezamieszkujące w lokalu mieszkalnym w rozumieniu przepisów o ochronie praw lokatorów i mieszkaniowym zasobie gminy i niezameldowane na pobyt stały, w rozumieniu przepisów o ewidencji ludności, a także osoby niezamieszkujące w lokalu mieszkalnym i zameldowaną na pobyt stały w lokalu, w którym nie ma możliwości zamieszkania.</w:t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59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Osoby dorosłe mieszkające z rodzicami nie powinny być wykazywane we wskaźniku, chyba że wszystkie te osoby są w kryzysie bezdomności lub mieszkają w nieodpowiednich i niebezpiecznych warunkach. W przypadku, gdy bezdomność / wykluczenie z dostępu do mieszkań jest kryterium umożliwiającym udział w danej interwencji (np. grupa docelowa wskazana została we wniosku o dofinansowanie, kryteriach wyboru projektu lub dokumentach programowych), należy dane pozyskiwać bezpośrednio od wszystkich jej uczestników. W pozostałych przypadkach dane osobowe dot. tej cechy nie muszą być zbierane od poszczególnych uczestników. Wskaźnik należy jednak monitorować, nawet w przypadku, gdy powiązane z nim dane osobowe nie są zbierane od uczestników. Beneficjent stosuje wtedy szacunki. Najlepiej, by szacunki dotyczące uczestników bezdomnych / wykluczonych z dostępu do mieszkań w ogólnej liczbie uczestników w podziale na płeć były uzyskiwane za pomocą metod, które można statystycznie uzasadnić. Jeśli nie jest to możliwe, należy wykorzystać tzw. wiarygodne szacunki (różne metody szacowania opisano w załączniku do Wytycznych). Wybraną metodę szacowania należy udokumentować. Uwaga: w danym projekcie może być stosowana wyłącznie jedna metoda monitorowania tego wskaźnika tj. szacowanie lub zbieranie danych osobowych dot. tego wskaźnika od uczestników. Przynależność do grupy osób w kryzysie bezdomności lub dotkniętych wykluczeniem z dostępu do mieszkań określana jest w momencie rozpoczęcia udziału w projekcie, tj. w chwili rozpoczęcia udziału w pierwszej formie wsparcia w projekcie. Zasady dotyczące możliwości wykorzystania wiarygodnych szacunków przez beneficjentów w danym naborze określane są przez właściwą dla programu Instytucję Zarządzającą. </w:t>
            </w:r>
          </w:p>
        </w:tc>
        <w:tc>
          <w:tcPr/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</w:tc>
        <w:tc>
          <w:tcPr/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8" w:hRule="atLeast"/>
          <w:tblHeader w:val="0"/>
        </w:trPr>
        <w:tc>
          <w:tcPr/>
          <w:p w:rsidR="00000000" w:rsidDel="00000000" w:rsidP="00000000" w:rsidRDefault="00000000" w:rsidRPr="00000000" w14:paraId="0000004A">
            <w:pPr>
              <w:rPr>
                <w:rFonts w:ascii="Arial" w:cs="Arial" w:eastAsia="Arial" w:hAnsi="Arial"/>
              </w:rPr>
            </w:pPr>
            <w:bookmarkStart w:colFirst="0" w:colLast="0" w:name="_heading=h.7k1axllq2ixh" w:id="5"/>
            <w:bookmarkEnd w:id="5"/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WLWK-EECO13</w:t>
            </w:r>
          </w:p>
        </w:tc>
        <w:tc>
          <w:tcPr/>
          <w:p w:rsidR="00000000" w:rsidDel="00000000" w:rsidP="00000000" w:rsidRDefault="00000000" w:rsidRPr="00000000" w14:paraId="0000004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Wskaźnik produktu  </w:t>
            </w:r>
          </w:p>
        </w:tc>
        <w:tc>
          <w:tcPr/>
          <w:p w:rsidR="00000000" w:rsidDel="00000000" w:rsidP="00000000" w:rsidRDefault="00000000" w:rsidRPr="00000000" w14:paraId="0000004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Liczba osób z krajów trzecich objętych wsparciem w programie</w:t>
            </w:r>
          </w:p>
        </w:tc>
        <w:tc>
          <w:tcPr/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Osoby, które są obywatelami krajów spoza UE. Do wskaźnika wlicza się też bezpaństwowców zgodnie z Konwencją o statusie bezpaństwowców z 1954 r. i osoby bez ustalonego obywatelstwa. Przynależność do grupy osób z krajów trzecich określana jest w momencie rozpoczęcia udziału w projekcie, tj. w chwili rozpoczęcia udziału w pierwszej formie wsparcia w projekcie. W przypadku, gdy obywatelstwo państw trzecich jest kryterium umożliwiającym udział w danej interwencji (np. grupa docelowa wskazana została we wniosku o dofinansowanie, kryteriach wyboru projektu lub dokumentach programowych), należy dane pozyskiwać bezpośrednio od wszystkich jej uczestników. W pozostałych przypadkach dane osobowe dot. tej cechy nie muszą być zbierane od poszczególnych uczestników. Wskaźnik należy jednak monitorować, nawet w przypadku, gdy powiązane z nim dane osobowe nie są zbierane od uczestników. Beneficjent stosuje wtedy szacunki. Najlepiej, by szacunki dotyczące uczestników z krajów trzecich w ogólnej liczbie uczestników w podziale na płeć były uzyskiwane za pomocą metod, które można statystycznie uzasadnić. Jeśli nie jest to możliwe, należy wykorzystać tzw. wiarygodne szacunki (różne metody szacowania opisano w załączniku do Wytycznych). Wybraną metodę szacowania należy udokumentować. Uwaga: w danym projekcie może być stosowana wyłącznie jedna metoda monitorowania tego wskaźnika tj. szacowanie lub zbieranie danych osobowych dot. tego wskaźnika od uczestników. Zasady dotyczące możliwości wykorzystania wiarygodnych szacunków przez beneficjentów w danym naborze określane są przez właściwą dla programu Instytucję Zarządzającą.</w:t>
            </w:r>
          </w:p>
        </w:tc>
        <w:tc>
          <w:tcPr/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</w:tc>
        <w:tc>
          <w:tcPr/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8" w:hRule="atLeast"/>
          <w:tblHeader w:val="0"/>
        </w:trPr>
        <w:tc>
          <w:tcPr/>
          <w:p w:rsidR="00000000" w:rsidDel="00000000" w:rsidP="00000000" w:rsidRDefault="00000000" w:rsidRPr="00000000" w14:paraId="00000050">
            <w:pPr>
              <w:tabs>
                <w:tab w:val="left" w:leader="none" w:pos="954"/>
              </w:tabs>
              <w:rPr>
                <w:rFonts w:ascii="Arial" w:cs="Arial" w:eastAsia="Arial" w:hAnsi="Arial"/>
              </w:rPr>
            </w:pPr>
            <w:bookmarkStart w:colFirst="0" w:colLast="0" w:name="_heading=h.g4u1b4yr7bgu" w:id="6"/>
            <w:bookmarkEnd w:id="6"/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WLWK-EECO12</w:t>
            </w:r>
          </w:p>
        </w:tc>
        <w:tc>
          <w:tcPr/>
          <w:p w:rsidR="00000000" w:rsidDel="00000000" w:rsidP="00000000" w:rsidRDefault="00000000" w:rsidRPr="00000000" w14:paraId="0000005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Wskaźnik produktu  </w:t>
            </w:r>
          </w:p>
        </w:tc>
        <w:tc>
          <w:tcPr/>
          <w:p w:rsidR="00000000" w:rsidDel="00000000" w:rsidP="00000000" w:rsidRDefault="00000000" w:rsidRPr="00000000" w14:paraId="0000005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Liczba osób z niepełnosprawnościami objętych wsparciem w programie</w:t>
            </w:r>
          </w:p>
        </w:tc>
        <w:tc>
          <w:tcPr/>
          <w:p w:rsidR="00000000" w:rsidDel="00000000" w:rsidP="00000000" w:rsidRDefault="00000000" w:rsidRPr="00000000" w14:paraId="00000053">
            <w:pPr>
              <w:spacing w:after="12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Za osoby z niepełnosprawnościami uznaje się osoby niepełnosprawne w świetle przepisów ustawy z dnia 27 sierpnia 1997 r. o rehabilitacji zawodowej i społecznej oraz zatrudnianiu osób niepełnosprawnych, a także osoby z zaburzeniami psychicznymi, o których mowa w ustawie z dnia 19 sierpnia 1994 r. o ochronie zdrowia psychicznego tj. osoby z odpowiednim orzeczeniem lub innym dokumentem poświadczającym stan zdrowia. Osoby z niepełnosprawnościami to też uczniowie albo dzieci w wieku przedszkolnym posiadające orzeczenie o potrzebie kształcenia specjalnego wydane ze względu na dany rodzaj niepełnosprawności lub dzieci i młodzież posiadające orzeczenie o potrzebie zajęć rewalidacyjno-wychowawczych wydawane ze względu na niepełnosprawność intelektualną w stopniu głębokim. Orzeczenia uczniów, dzieci lub młodzieży są wydawane przez zespół orzekający działający w publicznej poradni psychologiczno-pedagogicznej, w tym poradni specjalistycznej. Przynależność do grupy osób z niepełnosprawnościami określana jest w momencie rozpoczęcia udziału w projekcie, tj. w chwili rozpoczęcia udziału w pierwszej formie wsparcia w projekcie. W przypadku, gdy niepełnosprawność jest kryterium umożliwiającym udział w danej interwencji (np. grupa docelowa wskazana została we wniosku o dofinansowanie, kryteriach wyboru projektu lub dokumentach programowych), należy dane pozyskiwać bezpośrednio od wszystkich jej uczestników. W pozostałych przypadkach dane osobowe dot. tej cechy nie muszą być zbierane od poszczególnych uczestników. Wskaźnik należy jednak monitorować, nawet w przypadku, gdy powiązane z nim dane osobowe nie są zbierane od uczestników. Beneficjent stosuje wtedy szacunki. Najlepiej, by szacunki dotyczące uczestników z niepełnosprawnościami w ogólnej liczbie uczestników w podziale na płeć były uzyskiwane za pomocą metod, które można statystycznie uzasadnić. Jeśli nie jest to możliwe, należy wykorzystać tzw. wiarygodne szacunki (różne metody szacowania opisano w załączniku do Wytycznych monitorowania). Wybraną metodę szacowania należy udokumentować. Uwaga: w danym projekcie może być stosowana wyłącznie jedna metoda monitorowania tego wskaźnika tj. szacowanie lub zbieranie danych osobowych dot. tego wskaźnika od uczestników. Zasady dotyczące możliwości wykorzystania wiarygodnych szacunków przez beneficjentów w danym naborze określane są przez właściwą dla programu Instytucję Zarządzającą.</w:t>
            </w:r>
          </w:p>
        </w:tc>
        <w:tc>
          <w:tcPr/>
          <w:p w:rsidR="00000000" w:rsidDel="00000000" w:rsidP="00000000" w:rsidRDefault="00000000" w:rsidRPr="00000000" w14:paraId="00000054">
            <w:pPr>
              <w:spacing w:after="12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X</w:t>
            </w:r>
          </w:p>
        </w:tc>
        <w:tc>
          <w:tcPr/>
          <w:p w:rsidR="00000000" w:rsidDel="00000000" w:rsidP="00000000" w:rsidRDefault="00000000" w:rsidRPr="00000000" w14:paraId="00000055">
            <w:pPr>
              <w:spacing w:after="12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8" w:hRule="atLeast"/>
          <w:tblHeader w:val="0"/>
        </w:trPr>
        <w:tc>
          <w:tcPr/>
          <w:p w:rsidR="00000000" w:rsidDel="00000000" w:rsidP="00000000" w:rsidRDefault="00000000" w:rsidRPr="00000000" w14:paraId="00000056">
            <w:pPr>
              <w:rPr>
                <w:rFonts w:ascii="Arial" w:cs="Arial" w:eastAsia="Arial" w:hAnsi="Arial"/>
              </w:rPr>
            </w:pPr>
            <w:bookmarkStart w:colFirst="0" w:colLast="0" w:name="_heading=h.cxpzz7ub6qxm" w:id="7"/>
            <w:bookmarkEnd w:id="7"/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WLWK-PL0CO01</w:t>
            </w:r>
          </w:p>
        </w:tc>
        <w:tc>
          <w:tcPr/>
          <w:p w:rsidR="00000000" w:rsidDel="00000000" w:rsidP="00000000" w:rsidRDefault="00000000" w:rsidRPr="00000000" w14:paraId="0000005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Wskaźnik produktu  </w:t>
            </w:r>
          </w:p>
        </w:tc>
        <w:tc>
          <w:tcPr/>
          <w:p w:rsidR="00000000" w:rsidDel="00000000" w:rsidP="00000000" w:rsidRDefault="00000000" w:rsidRPr="00000000" w14:paraId="0000005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Liczba projektów, w których sfinansowano koszty racjonalnych usprawnień dla osób z niepełnosprawnościami</w:t>
            </w:r>
          </w:p>
        </w:tc>
        <w:tc>
          <w:tcPr/>
          <w:p w:rsidR="00000000" w:rsidDel="00000000" w:rsidP="00000000" w:rsidRDefault="00000000" w:rsidRPr="00000000" w14:paraId="00000059">
            <w:pPr>
              <w:spacing w:before="12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Racjonalne usprawnienie oznacza konieczne i odpowiednie zmiany oraz dostosowania, nienakładające nieproporcjonalnego lub nadmiernego obciążenia, rozpatrywane osobno dla każdego konkretnego przypadku, w celu zapewnienia osobom z niepełnosprawnościami możliwości korzystania z wszelkich praw człowieka i podstawowych wolności oraz ich wykonywania na zasadzie równości z innymi osobami. Wskaźnik mierzony jest w momencie rozliczenia wydatku związanego z racjonalnymi usprawnieniami w ramach danego projektu. Tym samym, jego wartość początkowa wynosi 0. Przykłady racjonalnych usprawnień: tłumacz języka migowego, transport niskopodłogowy, dostosowanie infrastruktury (nie tylko budynku, ale też dostosowanie infrastruktury komputerowej np. programy powiększające, mówiące, drukarki materiałów w alfabecie Braille'a), osoby asystujące. Do wskaźnika powinny zostać wliczone zarówno projekty ogólnodostępne, w których sfinansowano koszty racjonalnych usprawnień, jak i te ukierunkowane na zwalczanie i zapobieganie wszelkim formom dyskryminacji w stosunku do osób na nią narażonych, a także zwiększanie dostępności dla osób z niepełnosprawnościami. Na poziomie projektu wskaźnik może przyjmować maksymalną wartość 1 - co oznacza jeden projekt, w którym sfinansowano koszty racjonalnych usprawnień dla osób z niepełnosprawnościami. Liczba sfinansowanych racjonalnych usprawnień, w ramach projektu, nie ma znaczenia dla wartości wykazywanej we wskaźniku. Definicja na podstawie: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rtl w:val="0"/>
              </w:rPr>
              <w:t xml:space="preserve">Wytyczne w zakresie realizacji zasad równościowych w ramach 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funduszy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rtl w:val="0"/>
              </w:rPr>
              <w:t xml:space="preserve"> unijnych na lata 2021-2027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.</w:t>
            </w:r>
          </w:p>
        </w:tc>
        <w:tc>
          <w:tcPr/>
          <w:p w:rsidR="00000000" w:rsidDel="00000000" w:rsidP="00000000" w:rsidRDefault="00000000" w:rsidRPr="00000000" w14:paraId="0000005A">
            <w:pPr>
              <w:spacing w:before="12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X</w:t>
            </w:r>
          </w:p>
        </w:tc>
        <w:tc>
          <w:tcPr/>
          <w:p w:rsidR="00000000" w:rsidDel="00000000" w:rsidP="00000000" w:rsidRDefault="00000000" w:rsidRPr="00000000" w14:paraId="0000005B">
            <w:pPr>
              <w:spacing w:before="12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8" w:hRule="atLeast"/>
          <w:tblHeader w:val="0"/>
        </w:trPr>
        <w:tc>
          <w:tcPr/>
          <w:p w:rsidR="00000000" w:rsidDel="00000000" w:rsidP="00000000" w:rsidRDefault="00000000" w:rsidRPr="00000000" w14:paraId="0000005C">
            <w:pPr>
              <w:rPr>
                <w:rFonts w:ascii="Arial" w:cs="Arial" w:eastAsia="Arial" w:hAnsi="Arial"/>
              </w:rPr>
            </w:pPr>
            <w:bookmarkStart w:colFirst="0" w:colLast="0" w:name="_heading=h.gkwebf8tqms2" w:id="8"/>
            <w:bookmarkEnd w:id="8"/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WLWK-PLFCO06</w:t>
            </w:r>
          </w:p>
        </w:tc>
        <w:tc>
          <w:tcPr/>
          <w:p w:rsidR="00000000" w:rsidDel="00000000" w:rsidP="00000000" w:rsidRDefault="00000000" w:rsidRPr="00000000" w14:paraId="0000005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Wskaźnik produktu  </w:t>
            </w:r>
          </w:p>
        </w:tc>
        <w:tc>
          <w:tcPr/>
          <w:p w:rsidR="00000000" w:rsidDel="00000000" w:rsidP="00000000" w:rsidRDefault="00000000" w:rsidRPr="00000000" w14:paraId="0000005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Liczba przedstawicieli kadry szkół i placówek systemu oświaty objętych wsparciem</w:t>
            </w:r>
          </w:p>
        </w:tc>
        <w:tc>
          <w:tcPr/>
          <w:p w:rsidR="00000000" w:rsidDel="00000000" w:rsidP="00000000" w:rsidRDefault="00000000" w:rsidRPr="00000000" w14:paraId="0000005F">
            <w:pPr>
              <w:spacing w:after="12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Wskaźnik mierzy liczbę nauczycieli, innych przedstawicieli kadr pedagogicznych i niepedagogicznych oraz dyrektorów szkół i placówek systemu oświaty objętych wsparciem w ramach programu. Wskaźnik ma zastosowanie do przedstawicieli kadry ośrodków wychowania przedszkolnego, kadry szkół i placówek prowadzących kształcenie ogólne, jak i szkół i placówek prowadzących kształcenie zawodowe. Wskaźnik odnosi się do kadry szkół i placówek publicznych i niepublicznych. </w:t>
            </w:r>
          </w:p>
        </w:tc>
        <w:tc>
          <w:tcPr/>
          <w:p w:rsidR="00000000" w:rsidDel="00000000" w:rsidP="00000000" w:rsidRDefault="00000000" w:rsidRPr="00000000" w14:paraId="00000060">
            <w:pPr>
              <w:spacing w:after="12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1">
            <w:pPr>
              <w:spacing w:after="12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Wskaźnik należy wykazać we wniosku o dofinansowanie, jeśli jest adekwatny do planowanego w projekcie zakresu wsparcia i grupy docelowej </w:t>
            </w:r>
          </w:p>
        </w:tc>
      </w:tr>
      <w:tr>
        <w:trPr>
          <w:cantSplit w:val="0"/>
          <w:trHeight w:val="118" w:hRule="atLeast"/>
          <w:tblHeader w:val="0"/>
        </w:trPr>
        <w:tc>
          <w:tcPr/>
          <w:p w:rsidR="00000000" w:rsidDel="00000000" w:rsidP="00000000" w:rsidRDefault="00000000" w:rsidRPr="00000000" w14:paraId="00000062">
            <w:pPr>
              <w:rPr>
                <w:rFonts w:ascii="Arial" w:cs="Arial" w:eastAsia="Arial" w:hAnsi="Arial"/>
              </w:rPr>
            </w:pPr>
            <w:bookmarkStart w:colFirst="0" w:colLast="0" w:name="_heading=h.i2zml3kdltkc" w:id="9"/>
            <w:bookmarkEnd w:id="9"/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WLWK-PLFCO07</w:t>
            </w:r>
          </w:p>
        </w:tc>
        <w:tc>
          <w:tcPr/>
          <w:p w:rsidR="00000000" w:rsidDel="00000000" w:rsidP="00000000" w:rsidRDefault="00000000" w:rsidRPr="00000000" w14:paraId="0000006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Wskaźnik produktu  </w:t>
            </w:r>
          </w:p>
        </w:tc>
        <w:tc>
          <w:tcPr/>
          <w:p w:rsidR="00000000" w:rsidDel="00000000" w:rsidP="00000000" w:rsidRDefault="00000000" w:rsidRPr="00000000" w14:paraId="00000064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Liczba szkół i placówek systemu oświaty objętych wsparciem</w:t>
            </w:r>
          </w:p>
        </w:tc>
        <w:tc>
          <w:tcPr/>
          <w:p w:rsidR="00000000" w:rsidDel="00000000" w:rsidP="00000000" w:rsidRDefault="00000000" w:rsidRPr="00000000" w14:paraId="00000065">
            <w:pPr>
              <w:spacing w:after="12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Wskaźnik mierzy liczbę szkół i placówek systemu oświaty objętych wsparciem. Wskaźnik ma zastosowanie do ośrodków wychowania przedszkolnego, szkół i placówek prowadzących kształcenie ogólne, jak i szkół i placówek prowadzących kształcenie zawodowe. Wskaźnik odnosi się do szkół i placówek publicznych i niepublicznych. Wskaźnik nie ma zastosowania do poradni psychologiczno-pedagogicznych. W przypadku objęcia wsparciem kilku szkół wchodzących w skład zespołu szkół, każdą szkołę z danego zespołu szkół, która uzyskała wsparcie, należy liczyć odrębnie. W przypadku skierowania wsparcia do szkół filialnych, szkoła macierzysta i szkoły jej podporządkowane powinny być mierzone odrębnie.  </w:t>
            </w:r>
          </w:p>
        </w:tc>
        <w:tc>
          <w:tcPr/>
          <w:p w:rsidR="00000000" w:rsidDel="00000000" w:rsidP="00000000" w:rsidRDefault="00000000" w:rsidRPr="00000000" w14:paraId="00000066">
            <w:pPr>
              <w:spacing w:after="12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X</w:t>
            </w:r>
          </w:p>
        </w:tc>
        <w:tc>
          <w:tcPr/>
          <w:p w:rsidR="00000000" w:rsidDel="00000000" w:rsidP="00000000" w:rsidRDefault="00000000" w:rsidRPr="00000000" w14:paraId="00000067">
            <w:pPr>
              <w:spacing w:after="12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8" w:hRule="atLeast"/>
          <w:tblHeader w:val="0"/>
        </w:trPr>
        <w:tc>
          <w:tcPr/>
          <w:p w:rsidR="00000000" w:rsidDel="00000000" w:rsidP="00000000" w:rsidRDefault="00000000" w:rsidRPr="00000000" w14:paraId="00000068">
            <w:pPr>
              <w:rPr>
                <w:rFonts w:ascii="Arial" w:cs="Arial" w:eastAsia="Arial" w:hAnsi="Arial"/>
              </w:rPr>
            </w:pPr>
            <w:bookmarkStart w:colFirst="0" w:colLast="0" w:name="_heading=h.26khc4w2bsfy" w:id="10"/>
            <w:bookmarkEnd w:id="10"/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WLWK-PLFCO03</w:t>
            </w:r>
          </w:p>
        </w:tc>
        <w:tc>
          <w:tcPr/>
          <w:p w:rsidR="00000000" w:rsidDel="00000000" w:rsidP="00000000" w:rsidRDefault="00000000" w:rsidRPr="00000000" w14:paraId="0000006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Wskaźnik produktu  </w:t>
            </w:r>
          </w:p>
        </w:tc>
        <w:tc>
          <w:tcPr/>
          <w:p w:rsidR="00000000" w:rsidDel="00000000" w:rsidP="00000000" w:rsidRDefault="00000000" w:rsidRPr="00000000" w14:paraId="0000006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Liczba uczniów szkół i placówek systemu oświaty prowadzących kształcenie ogólne objętych wsparciem</w:t>
            </w:r>
          </w:p>
        </w:tc>
        <w:tc>
          <w:tcPr/>
          <w:p w:rsidR="00000000" w:rsidDel="00000000" w:rsidP="00000000" w:rsidRDefault="00000000" w:rsidRPr="00000000" w14:paraId="0000006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Wskaźnik mierzy liczbę uczniów szkół i placówek systemu oświaty prowadzących kształcenie ogólne objętych wsparciem w ramach programu.</w:t>
            </w:r>
          </w:p>
          <w:p w:rsidR="00000000" w:rsidDel="00000000" w:rsidP="00000000" w:rsidRDefault="00000000" w:rsidRPr="00000000" w14:paraId="0000006C">
            <w:pPr>
              <w:spacing w:befor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Wskaźnik nie obejmuje dzieci objętych wychowaniem przedszkolnym lub uczniów/słuchaczy szkół i placówek systemu oświaty prowadzących kształcenie zawodowe, w tym oferujących kursy/szkolenia (pozaszkolne formy kształcenia).</w:t>
            </w:r>
          </w:p>
        </w:tc>
        <w:tc>
          <w:tcPr/>
          <w:p w:rsidR="00000000" w:rsidDel="00000000" w:rsidP="00000000" w:rsidRDefault="00000000" w:rsidRPr="00000000" w14:paraId="0000006D">
            <w:pPr>
              <w:rPr>
                <w:rFonts w:ascii="Arial" w:cs="Arial" w:eastAsia="Arial" w:hAnsi="Arial"/>
                <w:highlight w:val="yellow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X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E">
            <w:pPr>
              <w:rPr>
                <w:rFonts w:ascii="Arial" w:cs="Arial" w:eastAsia="Arial" w:hAnsi="Arial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9" w:hRule="atLeast"/>
          <w:tblHeader w:val="0"/>
        </w:trPr>
        <w:tc>
          <w:tcPr/>
          <w:p w:rsidR="00000000" w:rsidDel="00000000" w:rsidP="00000000" w:rsidRDefault="00000000" w:rsidRPr="00000000" w14:paraId="0000006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WLWK-PL0CO03</w:t>
            </w:r>
          </w:p>
        </w:tc>
        <w:tc>
          <w:tcPr/>
          <w:p w:rsidR="00000000" w:rsidDel="00000000" w:rsidP="00000000" w:rsidRDefault="00000000" w:rsidRPr="00000000" w14:paraId="00000070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Wskaźnik produktu  </w:t>
            </w:r>
          </w:p>
        </w:tc>
        <w:tc>
          <w:tcPr/>
          <w:p w:rsidR="00000000" w:rsidDel="00000000" w:rsidP="00000000" w:rsidRDefault="00000000" w:rsidRPr="00000000" w14:paraId="0000007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Ludność objęta projektami w ramach strategii zintegrowanego rozwoju terytorialnego</w:t>
            </w:r>
          </w:p>
        </w:tc>
        <w:tc>
          <w:tcPr/>
          <w:p w:rsidR="00000000" w:rsidDel="00000000" w:rsidP="00000000" w:rsidRDefault="00000000" w:rsidRPr="00000000" w14:paraId="0000007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Liczba osób objętych projektami wspieranymi przez fundusze w ramach strategii zintegrowanego rozwoju terytorialnego.</w:t>
            </w:r>
          </w:p>
        </w:tc>
        <w:tc>
          <w:tcPr/>
          <w:p w:rsidR="00000000" w:rsidDel="00000000" w:rsidP="00000000" w:rsidRDefault="00000000" w:rsidRPr="00000000" w14:paraId="0000007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X</w:t>
            </w:r>
          </w:p>
        </w:tc>
        <w:tc>
          <w:tcPr/>
          <w:p w:rsidR="00000000" w:rsidDel="00000000" w:rsidP="00000000" w:rsidRDefault="00000000" w:rsidRPr="00000000" w14:paraId="00000074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/>
          <w:p w:rsidR="00000000" w:rsidDel="00000000" w:rsidP="00000000" w:rsidRDefault="00000000" w:rsidRPr="00000000" w14:paraId="0000007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WLWK-PL0CO04</w:t>
            </w:r>
          </w:p>
        </w:tc>
        <w:tc>
          <w:tcPr/>
          <w:p w:rsidR="00000000" w:rsidDel="00000000" w:rsidP="00000000" w:rsidRDefault="00000000" w:rsidRPr="00000000" w14:paraId="0000007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Wskaźnik produktu  </w:t>
            </w:r>
          </w:p>
        </w:tc>
        <w:tc>
          <w:tcPr/>
          <w:p w:rsidR="00000000" w:rsidDel="00000000" w:rsidP="00000000" w:rsidRDefault="00000000" w:rsidRPr="00000000" w14:paraId="0000007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Wspierane strategie rozwoju lokalnego kierowanego przez społeczność</w:t>
            </w:r>
          </w:p>
        </w:tc>
        <w:tc>
          <w:tcPr/>
          <w:p w:rsidR="00000000" w:rsidDel="00000000" w:rsidP="00000000" w:rsidRDefault="00000000" w:rsidRPr="00000000" w14:paraId="0000007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Liczba wkładów w strategie rozwoju lokalnego kierowanego przez społeczność według każdego celu szczegółowego wnoszonych z funduszy zgodnie z art. 28 lit. b) CPR. Wartości wskaźnika uwzględniają, zatem, na poziomie celu szczegółowego, oddzielną liczbę wkładów finansowych w strategie RLKS.</w:t>
            </w:r>
          </w:p>
        </w:tc>
        <w:tc>
          <w:tcPr/>
          <w:p w:rsidR="00000000" w:rsidDel="00000000" w:rsidP="00000000" w:rsidRDefault="00000000" w:rsidRPr="00000000" w14:paraId="0000007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X</w:t>
            </w:r>
          </w:p>
        </w:tc>
        <w:tc>
          <w:tcPr/>
          <w:p w:rsidR="00000000" w:rsidDel="00000000" w:rsidP="00000000" w:rsidRDefault="00000000" w:rsidRPr="00000000" w14:paraId="0000007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/>
          <w:p w:rsidR="00000000" w:rsidDel="00000000" w:rsidP="00000000" w:rsidRDefault="00000000" w:rsidRPr="00000000" w14:paraId="0000007B">
            <w:pPr>
              <w:rPr>
                <w:rFonts w:ascii="Arial" w:cs="Arial" w:eastAsia="Arial" w:hAnsi="Arial"/>
              </w:rPr>
            </w:pPr>
            <w:bookmarkStart w:colFirst="0" w:colLast="0" w:name="_heading=h.b6dm9tvnxl3b" w:id="11"/>
            <w:bookmarkEnd w:id="11"/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WLWK-PLFCR02</w:t>
            </w:r>
          </w:p>
        </w:tc>
        <w:tc>
          <w:tcPr/>
          <w:p w:rsidR="00000000" w:rsidDel="00000000" w:rsidP="00000000" w:rsidRDefault="00000000" w:rsidRPr="00000000" w14:paraId="0000007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Wskaźnik rezultatu </w:t>
            </w:r>
          </w:p>
        </w:tc>
        <w:tc>
          <w:tcPr/>
          <w:p w:rsidR="00000000" w:rsidDel="00000000" w:rsidP="00000000" w:rsidRDefault="00000000" w:rsidRPr="00000000" w14:paraId="0000007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Liczba przedstawicieli kadry szkół i placówek systemu oświaty, którzy uzyskali kwalifikacje po opuszczeniu programu</w:t>
            </w:r>
          </w:p>
        </w:tc>
        <w:tc>
          <w:tcPr/>
          <w:p w:rsidR="00000000" w:rsidDel="00000000" w:rsidP="00000000" w:rsidRDefault="00000000" w:rsidRPr="00000000" w14:paraId="0000007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Przedstawiciele kadry szkół i placówek systemu oświaty rozumiani są zgodnie z definicją wskaźnika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rtl w:val="0"/>
              </w:rPr>
              <w:t xml:space="preserve">liczba przedstawicieli kadry szkół i placówek systemu oświaty objętych wsparciem (osoby)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. Definicja i sposób pomiaru jak we wskaźniku wspólnym: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rtl w:val="0"/>
              </w:rPr>
              <w:t xml:space="preserve">liczba osób, które uzyskały kwalifikacje po opuszczeniu program(osoby).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0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Wskaźnik należy wykazać we wniosku o dofinansowanie, jeśli jest adekwatny do planowanego w projekcie zakresu wsparcia i grupy docelowej </w:t>
            </w:r>
          </w:p>
        </w:tc>
      </w:tr>
      <w:tr>
        <w:trPr>
          <w:cantSplit w:val="0"/>
          <w:trHeight w:val="480" w:hRule="atLeast"/>
          <w:tblHeader w:val="0"/>
        </w:trPr>
        <w:tc>
          <w:tcPr/>
          <w:p w:rsidR="00000000" w:rsidDel="00000000" w:rsidP="00000000" w:rsidRDefault="00000000" w:rsidRPr="00000000" w14:paraId="00000081">
            <w:pPr>
              <w:rPr>
                <w:rFonts w:ascii="Arial" w:cs="Arial" w:eastAsia="Arial" w:hAnsi="Arial"/>
              </w:rPr>
            </w:pPr>
            <w:bookmarkStart w:colFirst="0" w:colLast="0" w:name="_heading=h.ymhf5t848ntw" w:id="12"/>
            <w:bookmarkEnd w:id="12"/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WLWK-PLFCR01</w:t>
            </w:r>
          </w:p>
        </w:tc>
        <w:tc>
          <w:tcPr/>
          <w:p w:rsidR="00000000" w:rsidDel="00000000" w:rsidP="00000000" w:rsidRDefault="00000000" w:rsidRPr="00000000" w14:paraId="0000008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Wskaźnik rezultatu </w:t>
            </w:r>
          </w:p>
        </w:tc>
        <w:tc>
          <w:tcPr/>
          <w:p w:rsidR="00000000" w:rsidDel="00000000" w:rsidP="00000000" w:rsidRDefault="00000000" w:rsidRPr="00000000" w14:paraId="0000008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Liczba uczniów, którzy nabyli kwalifikacje po opuszczeniu programu </w:t>
            </w:r>
          </w:p>
        </w:tc>
        <w:tc>
          <w:tcPr/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Wskaźnik mierzy liczbę uczniów, którzy dzięki wsparciu z EFS+ nabyli kwalifikacje, kompetencje kluczowe, społeczne lub społeczno-emocjonalne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lub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umiejętności/kompetencje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podstawowe, przekrojowe lub zawodowe. Wskaźnik ma zastosowanie do uczniów i słuchaczy szkół i placówek prowadzących kształcenie ogólne oraz szkół i placówek prowadzących kształcenie zawodowe, w tym kursy/szkolenia (pozaszkolne formy kształcenia ustawicznego). Wskaźnik odnosi się do szkół i placówek publicznych i niepublicznych. Wskaźnik nie obejmuje dzieci objętych wychowaniem przedszkolnym. Definicja kompetencji kluczowych, społecznych i społeczno-emocjonalnych oraz umiejętności/kompetencji podstawowych, przekrojowych i zawodowych jak w Zintegrowanej Strategii Umiejętności 2030 (część ogólna i szczegółowa). Definicja kwalifikacji/kompetencji i sposób pomiaru jak we wskaźniku wspólnym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liczba osób, które uzyskały kwalifikacje po opuszczeniu program(osoby)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, przy czym walidacja może być przeprowadzona przez nauczyciela/osobę prowadzącą zajęcia.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</w:tc>
        <w:tc>
          <w:tcPr/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7">
      <w:pPr>
        <w:spacing w:after="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pStyle w:val="Heading3"/>
        <w:spacing w:after="240" w:lineRule="auto"/>
        <w:rPr>
          <w:rFonts w:ascii="Arial" w:cs="Arial" w:eastAsia="Arial" w:hAnsi="Arial"/>
          <w:b w:val="1"/>
          <w:bCs w:val="1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rtl w:val="0"/>
        </w:rPr>
        <w:t xml:space="preserve">UWAGA</w:t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14" w:right="0" w:hanging="357"/>
        <w:jc w:val="both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Wskaźniki monitorowane we wszystkich CS:</w:t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Liczba projektów, w których sfinansowano koszty racjonalnych usprawnień dla osób z niepełnosprawnościami PL0CO01,</w:t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59" w:lineRule="auto"/>
        <w:ind w:left="714" w:right="0" w:hanging="357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Liczba obiektów dostosowanych do potrzeb osób z niepełnosprawnościami PL0CO02.</w:t>
      </w:r>
    </w:p>
    <w:p w:rsidR="00000000" w:rsidDel="00000000" w:rsidP="00000000" w:rsidRDefault="00000000" w:rsidRPr="00000000" w14:paraId="0000008C">
      <w:pPr>
        <w:spacing w:after="240" w:lineRule="auto"/>
        <w:ind w:left="357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Zaleca się, aby wskaźnik Liczba projektów, w których sfinansowano koszty racjonalnych usprawnień dla osób z niepełnosprawnościami PL0CO01 był wybierany każdorazowo na etapie planowania wniosku o dofinasowanie z wartością docelową „0”, a na etapie realizacji projektu we wnioskach o płatność należy odnotowywać jego faktyczną realizację. Natomiast wskaźnik Liczba obiektów dostosowanych do potrzeb osób z niepełnosprawnościami PL0CO02, wybierany i monitorowany powinien być w projektach, w których faktycznie przewiduje się tego typu wsparcie.</w:t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Wskaźniki wspólne produktu monitorujące cechy wrażliwe: </w:t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Liczba osób z niepełnosprawnościami objętych wsparciem w programie EECO12,</w:t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Liczba osób z krajów trzecich objętych wsparciem w programie EECO13,</w:t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Liczba osób obcego pochodzenia objętych wsparciem w programie EECO14,</w:t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Liczba osób należących do mniejszości, w tym społeczności marginalizowanych takich jak Romowie, objętych wsparciem w programie EECO15, </w:t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59" w:lineRule="auto"/>
        <w:ind w:left="714" w:right="0" w:hanging="357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Liczba osób w kryzysie bezdomności lub dotkniętych wykluczeniem z dostępu do mieszkań, objętych wsparciem w programie EECO16.</w:t>
      </w:r>
    </w:p>
    <w:p w:rsidR="00000000" w:rsidDel="00000000" w:rsidP="00000000" w:rsidRDefault="00000000" w:rsidRPr="00000000" w14:paraId="00000093">
      <w:pPr>
        <w:spacing w:after="0" w:lineRule="auto"/>
        <w:ind w:left="284" w:firstLine="0"/>
        <w:rPr>
          <w:rFonts w:ascii="Arial" w:cs="Arial" w:eastAsia="Arial" w:hAnsi="Arial"/>
          <w:i w:val="1"/>
          <w:iCs w:val="1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Wskaźniki należy wybierać i monitorować we wszystkich projektach, w których będą występować uczestnicy projektów. W przypadku projektów gdzie np. niepełnosprawność jest kryterium umożliwiającym udział w danej interwencji (np. grupa docelowa wskazana została we wniosku o dofinansowanie, kryteriach wyboru projektu lub dokumentach programowych) należy dane pozyskiwać bezpośrednio od wszystkich uczestników. W związku z powyższym dany wskaźnik powinien zostać wprowadzony do projektu wraz z oszacowaną wartością docelową.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spacing w:after="240" w:lineRule="auto"/>
        <w:ind w:left="284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W pozostałych przypadkach należy wybrać ww. wskaźniki wspólne do projektów, jako tzw. „wskaźniki informacyjne” – dla wartości docelowej należy wpisać „0”, natomiast na etapie realizacji projektu we wnioskach o płatność należy odnotowywać faktyczną realizację wskaźników.</w:t>
      </w:r>
    </w:p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Monitorowanie wskaźników z podziałem na płeć</w:t>
      </w:r>
    </w:p>
    <w:p w:rsidR="00000000" w:rsidDel="00000000" w:rsidP="00000000" w:rsidRDefault="00000000" w:rsidRPr="00000000" w14:paraId="00000096">
      <w:pPr>
        <w:spacing w:after="0" w:lineRule="auto"/>
        <w:ind w:left="360" w:firstLine="0"/>
        <w:rPr>
          <w:rFonts w:ascii="Arial" w:cs="Arial" w:eastAsia="Arial" w:hAnsi="Arial"/>
          <w:b w:val="1"/>
          <w:bCs w:val="1"/>
          <w:u w:val="singl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Mając na uwadze zapisy Rozdziału 5, Podrozdział 5.2, pkt 5. Wytycznych dotyczących realizacji zasad równościowych w ramach funduszy unijnych na lata 2021-2027, należy pamiętać, iż zgodnie z „załącznikiem nr I do rozporządzenia EFS+, wszystkie wskaźniki wspólne dotyczące osób powinny być monitorowane z podziałem na płeć. Podejście to jest rekomendowane również w stosunku do monitorowania wskaźników specyficznych dla programu i wskaźników kluczowych zawartych na Liście Wskaźników Kluczowych, w tym także w przypadku EFRR, FS i FST.”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2240" w:w="15840" w:orient="landscape"/>
      <w:pgMar w:bottom="720" w:top="720" w:left="720" w:right="720" w:header="708" w:footer="261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str. </w:t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1653539</wp:posOffset>
          </wp:positionH>
          <wp:positionV relativeFrom="paragraph">
            <wp:posOffset>-298973</wp:posOffset>
          </wp:positionV>
          <wp:extent cx="5836920" cy="464820"/>
          <wp:effectExtent b="0" l="0" r="0" t="0"/>
          <wp:wrapTopAndBottom distB="0" distT="0"/>
          <wp:docPr descr="fe-rp-ue-pdk-FE-2021-2027-dla-Podkarpacia-poziomo" id="1" name="image1.jpg"/>
          <a:graphic>
            <a:graphicData uri="http://schemas.openxmlformats.org/drawingml/2006/picture">
              <pic:pic>
                <pic:nvPicPr>
                  <pic:cNvPr descr="fe-rp-ue-pdk-FE-2021-2027-dla-Podkarpacia-poziomo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836920" cy="46482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l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Rule="auto"/>
    </w:pPr>
    <w:rPr>
      <w:rFonts w:ascii="Calibri" w:cs="Calibri" w:eastAsia="Calibri" w:hAnsi="Calibri"/>
      <w:color w:val="2e75b5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40" w:lineRule="auto"/>
    </w:pPr>
    <w:rPr>
      <w:rFonts w:ascii="Calibri" w:cs="Calibri" w:eastAsia="Calibri" w:hAnsi="Calibri"/>
      <w:color w:val="2e75b5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40" w:lineRule="auto"/>
    </w:pPr>
    <w:rPr>
      <w:rFonts w:ascii="Calibri" w:cs="Calibri" w:eastAsia="Calibri" w:hAnsi="Calibri"/>
      <w:color w:val="1e4d78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Col">
      <w:rPr>
        <w:b w:val="1"/>
        <w:bCs w:val="1"/>
      </w:rPr>
    </w:tblStylePr>
    <w:tblStylePr w:type="firstRow">
      <w:rPr>
        <w:b w:val="1"/>
        <w:bCs w:val="1"/>
      </w:rPr>
      <w:tcPr>
        <w:tcBorders>
          <w:bottom w:color="666666" w:space="0" w:sz="12" w:val="single"/>
        </w:tcBorders>
      </w:tcPr>
    </w:tblStylePr>
    <w:tblStylePr w:type="lastCol">
      <w:rPr>
        <w:b w:val="1"/>
        <w:bCs w:val="1"/>
      </w:rPr>
    </w:tblStylePr>
    <w:tblStylePr w:type="lastRow">
      <w:rPr>
        <w:b w:val="1"/>
        <w:bCs w:val="1"/>
      </w:rPr>
      <w:tcPr>
        <w:tcBorders>
          <w:top w:color="666666" w:space="0" w:sz="4" w:val="single"/>
        </w:tcBorders>
      </w:tcPr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rN6LHZOxWY9D84YGRX0G29P+Tag==">CgMxLjAyDmgudHBlNHhncXljdmoxMg5oLmppenhoOHJ1MXM3bTIOaC5qMzNydGF4cmFmcTgyDmguZTg4cmc3MngwajY3Mg5oLnE4YXhoeDFseTYwcTIOaC43azFheGxscTJpeGgyDmguZzR1MWI0eXI3Ymd1Mg5oLmN4cHp6N3ViNnF4bTIOaC5na3dlYmY4dHFtczIyDmguaTJ6bWwza2RsdGtjMg5oLjI2a2hjNHcyYnNmeTIOaC5iNmRtOXR2bnhsM2IyDmgueW1oZjV0ODQ4bnR3OAByITFQb1Z5V2xzZTlxdHYtb0FkVUppZGlmc2VrX1pmWFpwb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